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cs="黑体"/>
          <w:sz w:val="36"/>
          <w:szCs w:val="36"/>
          <w:lang w:val="en-US" w:eastAsia="zh-CN"/>
        </w:rPr>
      </w:pPr>
      <w:r>
        <w:rPr>
          <w:rFonts w:hint="eastAsia" w:ascii="黑体" w:hAnsi="黑体" w:eastAsia="黑体" w:cs="黑体"/>
          <w:sz w:val="36"/>
          <w:szCs w:val="36"/>
          <w:lang w:val="en-US" w:eastAsia="zh-CN"/>
        </w:rPr>
        <w:t>湖南城市学院2024年“专升本”招生考试</w:t>
      </w:r>
    </w:p>
    <w:p>
      <w:pPr>
        <w:jc w:val="center"/>
        <w:rPr>
          <w:rFonts w:hint="default" w:ascii="黑体" w:hAnsi="黑体" w:eastAsia="黑体" w:cs="黑体"/>
          <w:sz w:val="36"/>
          <w:szCs w:val="36"/>
          <w:lang w:val="en-US" w:eastAsia="zh-CN"/>
        </w:rPr>
      </w:pPr>
      <w:r>
        <w:rPr>
          <w:rFonts w:hint="eastAsia" w:ascii="黑体" w:hAnsi="黑体" w:eastAsia="黑体" w:cs="黑体"/>
          <w:sz w:val="36"/>
          <w:szCs w:val="36"/>
          <w:lang w:val="en-US" w:eastAsia="zh-CN"/>
        </w:rPr>
        <w:t>体育教育专业《专业综合理论》科目考试要求</w:t>
      </w:r>
    </w:p>
    <w:p>
      <w:pPr>
        <w:adjustRightInd w:val="0"/>
        <w:snapToGrid w:val="0"/>
        <w:spacing w:before="156" w:beforeLines="50" w:line="360" w:lineRule="auto"/>
        <w:jc w:val="center"/>
        <w:rPr>
          <w:rFonts w:ascii="宋体" w:hAnsi="宋体" w:cs="宋体"/>
          <w:b/>
          <w:bCs/>
          <w:sz w:val="30"/>
          <w:szCs w:val="30"/>
        </w:rPr>
      </w:pPr>
      <w:r>
        <w:rPr>
          <w:rFonts w:hint="eastAsia" w:ascii="宋体" w:hAnsi="宋体" w:cs="宋体"/>
          <w:b/>
          <w:bCs/>
          <w:sz w:val="30"/>
          <w:szCs w:val="30"/>
        </w:rPr>
        <w:t>I．考试内容与要求</w:t>
      </w:r>
    </w:p>
    <w:p>
      <w:pPr>
        <w:widowControl w:val="0"/>
        <w:numPr>
          <w:ilvl w:val="0"/>
          <w:numId w:val="0"/>
        </w:numPr>
        <w:ind w:firstLine="560" w:firstLineChars="200"/>
        <w:jc w:val="left"/>
        <w:rPr>
          <w:rFonts w:hint="default" w:ascii="黑体" w:hAnsi="黑体" w:eastAsia="仿宋_GB2312" w:cs="黑体"/>
          <w:sz w:val="36"/>
          <w:szCs w:val="36"/>
          <w:lang w:val="en-US" w:eastAsia="zh-CN"/>
        </w:rPr>
      </w:pPr>
      <w:r>
        <w:rPr>
          <w:rFonts w:hint="eastAsia" w:eastAsia="仿宋_GB2312" w:cs="仿宋_GB2312"/>
          <w:color w:val="000000"/>
          <w:kern w:val="0"/>
          <w:sz w:val="28"/>
          <w:szCs w:val="28"/>
          <w:lang w:val="en-US" w:eastAsia="zh-CN" w:bidi="ar"/>
        </w:rPr>
        <w:t>本科目考试内容涵盖《运动解剖学》、《运动生理学》、《学校体育学》三门专业核心课程的主要知识点，全面考查学生对体育学科核心课程的基本概念、基本原理和主要知识点学习的理解和掌握情况。能用所学的知识点</w:t>
      </w:r>
      <w:r>
        <w:rPr>
          <w:rFonts w:hint="eastAsia" w:eastAsia="仿宋_GB2312" w:cs="仿宋_GB2312"/>
          <w:color w:val="000000"/>
          <w:kern w:val="0"/>
          <w:sz w:val="28"/>
          <w:szCs w:val="28"/>
          <w:lang w:val="en-US" w:eastAsia="zh-CN" w:bidi="ar"/>
        </w:rPr>
        <w:t>做出理论分析，能综合运用所学的知识，具备从事体育教育工作所必备的专业理论知识和专业实践能力。</w:t>
      </w:r>
    </w:p>
    <w:p>
      <w:pPr>
        <w:widowControl w:val="0"/>
        <w:numPr>
          <w:ilvl w:val="0"/>
          <w:numId w:val="0"/>
        </w:numPr>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一、运动解剖学</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考试内容：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绪论</w:t>
      </w:r>
    </w:p>
    <w:p>
      <w:pPr>
        <w:widowControl w:val="0"/>
        <w:numPr>
          <w:ilvl w:val="0"/>
          <w:numId w:val="0"/>
        </w:numPr>
        <w:ind w:firstLine="560" w:firstLineChars="200"/>
        <w:jc w:val="left"/>
        <w:rPr>
          <w:rFonts w:hint="default"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掌握运动解剖学的定义；掌握学习运动解剖学的基本观点；掌握运动解剖学的定位术语。</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第一部分 运动系统</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熟悉运动系统的组成；掌握骨的构造、熟悉骨的分类；掌握关节的基本构造；熟悉椎骨的一般形态；了解各部椎骨的主要形态特点；掌握椎骨的连接；熟悉脊柱的形态和功能；掌握胸廓的组成；掌握上肢骨的组成；了解肩胛骨、肱骨的主要形态；掌握肩关节的组成、构造特点和运动；了解肘关节的组成和运动；掌握下肢骨的组成；了解髋骨、股骨的主要形态；掌握骨盆的组成和分部；掌握髋关节和膝关节组成、构造特点和运动；熟悉脑颅各骨的名称；了解颞下颌关节的组成和构造特点；掌握临床常用的骨性标志；掌握胸锁乳突肌、胸大肌和肋间肌的作用；熟悉膈的位置、形态；掌握其裂孔通过的结构及膈的作用；掌握腹直肌、腹外斜肌、腹内斜肌和腹横肌的位置；掌握腹股沟管的位置和内容物；了解头肌的分部、咀嚼肌的名称；了解上肢的分布。掌握三角肌的位置和作用；熟悉臂肌和前臂肌的分群及其作用；了解下肢肌的分部和分群。掌握臀大肌、股四头肌和小腿三头肌的位置和作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第二部分 内脏系统</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消化系统</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掌握消化系统的组成及上、下消化道的概念；掌握咽峡的构成、熟悉牙的形态及牙周组织；掌握腮腺的位置及腺管开口部位；掌握咽的位置、分部和交通。熟悉腭扁桃体的位置；掌握食管的分部及狭窄部位；掌握胃的位置、形态和分部；熟悉十二指肠的分部和形态；掌握大肠的分部、盲肠和结肠的形态特点、盲肠与阑尾根部的体表投影；了解回盲瓣的形态、位置及作用；熟悉结肠的分部及各部的位置。掌握直肠的位置；掌握肝的位置和形态，熟悉肝上、下界的体表投影；掌握胆囊的位置、形态和分部。熟悉胆囊底的体表投影；掌握肝外胆道的组成和胆汁的排出途径；熟悉胰的位置、分部和胰管的开口部位；掌握腹膜和腹膜腔的概念；熟悉大网膜的位置与功能、小网膜的位置和分部；熟悉子宫直肠陷凹的位置及其临床意义；</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呼吸系统</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掌握呼吸系统的组成；掌握呼吸道的组成和上、下呼吸道的概念；掌握鼻旁窦的名称、位置及其开口部位；熟悉喉的位置，喉软骨、喉腔的形态和分部；熟悉气管的位置，掌握左、右主支气管的区别及临床意义；掌握肺的形态、位置及分叶；掌握胸膜与胸膜腔的概念，熟悉壁胸膜的分部；掌握肋膈隐窝的位置。了解纵隔的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泌尿系统</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掌握泌尿系统的组成；掌握肾的形态和位置，熟悉肾的被膜；掌握输尿管的分部和狭窄；熟悉膀胱的位置、形态和分部；掌握膀胱三角的位置、粘膜特点及其临床意义。</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生殖系统</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掌握生殖系统的组成；掌握男性生殖器的组成；熟悉睾丸的位置和形态；熟悉附睾的位置和形态；了解输精管的分部、射精管的形成及开口部位；了解输精管结扎术常采用的部位。熟悉前列腺的位置；掌握男性尿道的弯曲、狭窄和分部；了解精子的排出途径；掌握女性生殖器的组成；掌握输卵管的分部；了解输卵管结扎术的常用部位；熟悉卵巢的位置；掌握子宫的形态、分部、位置和固定装置；了解阴道后弯的位置及临床意义。</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第三部分 脉管系统</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掌握脉管系统的组成；掌握心血管系统的组成及体循环与肺循环的概念；掌握心的位置、外形及各心腔内的结构；熟悉心传导系统的组成；掌握左、右冠状动脉的起始、重要分支及其主要分布范围；掌握主动脉弓的分支；熟悉上肢动脉主干的名称；熟悉下肢动脉主干的名称；熟悉上腔静脉的组成和收集范围。掌握头静脉、贵要静脉和肘正中静脉的注入部位及临床意义。了解奇静脉的起始、收集范围和注入部位；熟悉下腔静脉的组成和收集范围。掌握大隐静脉的起始部位和注入部位及临床意义。熟悉小隐静脉的起始部位和注入部位；掌握门静脉的组成和主要属支及其收集范围；掌握门静脉的结构特点及其与上、下腔静脉系的吻合部位；掌握淋巴系统的组成；熟悉右淋巴导管的注入部位和收集范围；掌握胸导管的注入部位和收集范围；熟悉脾的位置和形态；</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第四部分  感觉器管</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掌握眼球壁的层次、各层的分部及形态结构特点；掌握眼球内容物的名称和眼的折光系统，熟悉房水循环途径；了解前庭蜗器的组成；熟悉鼓膜的位置；了解中耳的组成；掌握咽鼓管的交通及小儿咽鼓管的特点和临床意义；了解内耳的组成，熟悉内耳感受器的名称和作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第六部分  神经系统</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熟悉神经系统的分部；掌握脊髓的位置和外形；熟悉脊髓灰质、白质的位置和分部；掌握脑的位置和分部；熟悉脑干的组成；了解小脑的位置和外形；熟悉丘脑位置；熟悉下丘脑的组成；掌握大脑半球各面的主要沟、回和分叶；掌握大脑皮质主要机能区的位置；熟悉基底核的名称；掌握内囊的位置、分部、组成及临床意义；熟悉脑、脊髓被膜的层次及蛛网膜下腔和硬膜外腔的位置；掌握脑室系统的组成和脑脊髓的产生及循环途径；熟悉脊神经的组成及前、后支的分布规律；了解颈丛的位置和皮支浅出的部位。熟悉膈神经分布；了解臂丛的位置；掌握股神经的分布；了解骶丛的位置；掌握坐骨神经的行程和分布；掌握胫神经和腓总神经主要分支及分布；掌握12对脑神经的名称；熟悉动眼神经、展神经和滑车神经的分布。掌握三叉神经的重要分支和分布；掌握面神经的分布；熟悉舌咽神经、舌下神经的分布；熟悉交感神经和副交感神经低级中枢的部位。</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1.识记：全面考查学生对本课程的基本原理、基本概念和主要知识点学习、理解和掌握的情况。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2.了解：在识记的基础上，能全面把握基本概念、基本原则、基本原理、基本制度；能掌握有关概念、有关制度的联系和区别；能识别基本概念、原理、制度的特征。</w:t>
      </w:r>
    </w:p>
    <w:p>
      <w:pPr>
        <w:widowControl w:val="0"/>
        <w:numPr>
          <w:ilvl w:val="0"/>
          <w:numId w:val="0"/>
        </w:numPr>
        <w:ind w:firstLine="560" w:firstLineChars="200"/>
        <w:jc w:val="left"/>
        <w:rPr>
          <w:rFonts w:hint="default"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简单应用：在领会的基础上，能用所学的知识点分析和处理较为简单的应用实例。能综合运用所学体育教育学知识，具备从事中小学体育教学、课外体育活动、运动训练与运动竞赛组织、体育管理等方面的工作能力。</w:t>
      </w:r>
    </w:p>
    <w:p>
      <w:pPr>
        <w:widowControl w:val="0"/>
        <w:numPr>
          <w:ilvl w:val="0"/>
          <w:numId w:val="0"/>
        </w:numPr>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二、运动生理学</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肌肉活动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考试内容：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肌肉活动的基本概念。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1.识记：肌原纤维的结构，兴奋和兴奋性的概念，神经肌肉接点。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2.了解：静息电位.动作电位的概念。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3.简单应用：肌肉缩短收缩.拉长收缩和等长收缩分析及应用。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第二章 呼吸与运动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考试内容：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呼吸的基本概念，以及人体在运动过程中呼吸的作用原理。</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1.识记：肺通气，肺换气，肺活量，时间肺活量，肺泡通气量概念。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2.了解：气体交换过程。</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3.简单应用：通气/血流比值分析及应用。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第三章 血液与运动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考试内容：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血液的组成与基本概念，血液的功能以及血液对运动的反应和适应。</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1.识记：渗透压、血红蛋白氧饱和度等概念。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2.了解：血液的组成与理化特性。</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3.简单应用：氧解离曲线的特征和生理意义。</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第四章 血液循环与运动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考试内容：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血液循环的基本概念，血液循环系统的功能。</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1.识记：血压、心肌生理特性、心动周期、每搏输出量、每分输出量、射血分数概念。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2.了解：影响心输出量的因素。</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3.简单应用：血液重新分配及运动员心脏。</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第六章 能量代谢与运动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考试内容：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新陈代谢的基本概念，物质代谢和能量代谢的作用。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1.识记：肌肉活动能量供应的三个系统。</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2.了解：主要运动项目供能特点、能量的直接和间接来源物质。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第七章 内分泌与运动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考试内容：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内分泌系统、神经系统的基本概念，体液调节的作用。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1.识记：“应激”和“应急”的生理机制、内分泌功能轴。</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2.了解：甲状腺激素.生长激素。</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3.简单应用：运动过程中体液调节发挥的作用。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第八章 神经系统对运动及其学习的调控</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考试内容：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神经系统的基本概念。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1.识记：牵张反射、状态反射的概念。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2.了解：视网膜的感光系统、前庭器官功能。</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3.简单应用：牵张反射、状态反射在运动中的意义。</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第十一章 肌肉力量</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考试内容：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肌肉力量的基本概念。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1.识记：需氧量、吸氧量、氧亏、运动后过量氧耗、最大摄氧量、无氧阈概念。</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2.了解：肌肉力量、速度、无氧耐力、有氧耐力的生理学基础。</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3.简单应用：有氧及无氧训练的方法。</w:t>
      </w:r>
    </w:p>
    <w:p>
      <w:pPr>
        <w:widowControl w:val="0"/>
        <w:numPr>
          <w:ilvl w:val="0"/>
          <w:numId w:val="0"/>
        </w:numPr>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三、学校体育学</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1.学校体育的历史沿革与思想演变</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了解学校体育与社会发展之间的联系，了解中国学校体育思想的发展脉络，把握学校体育发展的趋势。</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2.学校体育与学生的全面发展</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了解中小学生的身体形态、机能、体能发展，心理发展和社会发展的特点，并能根据中小学生的特点正确提出开展学校体育的基本思路，将所学知识运用到学校体育实践中，以促进学生的全面发展。</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3.我国学校体育目的与目标</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正确认识学校体育结构，阐释学校体育的目的与目标对于提高体育工作效率的意义；知道制定学校体育目标的应考虑的因素；能根据学校体育目的正确开展学校体育。</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4.学校体育的制度与组织管理</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 xml:space="preserve">了解我国现行的学校体育制度基本内容，认识与理解学校体育重要政策法规的作用和意义，明确我国学校体育宏观管理系统和微观管理系统各自的组织机构和主要职能。 </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5．体育课程编制与实施</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掌握体育课程的性质与特点；体育课程的功能与价值，体育课程的学科基础。能正确认识体育课程实施的本质、体育课程实施的取向和策略，体育课程实施的过程以及实施过程中应认识与处理好的问题。</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6.体育与健康课程资源的开发与利用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理解体育课程资源开发与利用的意义，树立体育课程资源开发与利用理念，学会体育课程资源开发与利用技能。</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7.体育教学的特点、目标与内容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正确认识体育教学的本质与特点，认识与把握体育学习目标基本内涵与制定基本要求；正确理解与编制体育教学内容。</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8.体育教学方法与组织</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正确理解体育教学方法的实质、运用的条件，合理选择与正确运用各种体育教学方法。能够根据学校和学生的实际，学校体育资源等合理选择体育教学组织形式，正确有效的进行体育课堂管理。</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9.体育课教学</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正确认识与把握体育课的类型与结构，学会测定与分析体育课的密度与运动负荷，了解备好一节体育课的基本要求，能正确观摩体育课并进行科学合理的分析。</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10.体育教学设计</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能够对教学设计有一个正确的认识，知道不同层次体育教学设计具有相应的要素做支撑；基本掌握设计不同层次体育教学计划的方法步骤与要求；能够结合自己对教学设计的理解，批判性地借鉴所提供的案例。</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11．体育与健康课程学习评价</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正确认识与理解体育与健康学习评价的目标、内容、方法和标准；了解对体育教师教学评价的基本原则、评价的内容与方法。并能将这些基本理论运用与分析与解决当前我国基础教育体育与健康课程的学习评价与体育教师的教学评价实践之中。</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12.课外体育活动</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掌握如何开展课外体育活动的基本知识与实践方法。</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13.学校课余体育训练</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正确认识课外体育训练的目标与特点，明确开展课外体育训练的组织形式，掌握如何开展课外体育训练的基本知识与实践方法。</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14.学校课余体育竞赛</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了解课余体育竞赛的特点与意义，明确课余体育竞赛的组织形式，初步掌握课余体育竞赛的实施。</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15.体育教师</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bookmarkStart w:id="0" w:name="_Hlk156313059"/>
      <w:r>
        <w:rPr>
          <w:rFonts w:hint="eastAsia" w:eastAsia="仿宋_GB2312" w:cs="仿宋_GB2312"/>
          <w:color w:val="000000"/>
          <w:kern w:val="0"/>
          <w:sz w:val="28"/>
          <w:szCs w:val="28"/>
          <w:lang w:val="en-US" w:eastAsia="zh-CN" w:bidi="ar"/>
        </w:rPr>
        <w:t>了解体育教师的基本工作内容、性质和特征，并能根据自己的情况提出需要提高的地方与具体措施，为以后从事体育教师工作打下良好的基础。</w:t>
      </w:r>
    </w:p>
    <w:bookmarkEnd w:id="0"/>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16.</w:t>
      </w:r>
      <w:bookmarkStart w:id="1" w:name="_Hlk156313080"/>
      <w:r>
        <w:rPr>
          <w:rFonts w:hint="eastAsia" w:eastAsia="仿宋_GB2312" w:cs="仿宋_GB2312"/>
          <w:color w:val="000000"/>
          <w:kern w:val="0"/>
          <w:sz w:val="28"/>
          <w:szCs w:val="28"/>
          <w:lang w:val="en-US" w:eastAsia="zh-CN" w:bidi="ar"/>
        </w:rPr>
        <w:t>体育教师的职业培训与终身学习</w:t>
      </w:r>
      <w:bookmarkEnd w:id="1"/>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全面了解体育教师职业培训的过程，并能理解终身学习的概念及其特征；认识到体育教师终身学习的必要性，树立起终身学习的思想，以适应未来学习化社会对体育教师的要求。</w:t>
      </w:r>
    </w:p>
    <w:p>
      <w:pPr>
        <w:widowControl w:val="0"/>
        <w:numPr>
          <w:ilvl w:val="0"/>
          <w:numId w:val="0"/>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考核要求：</w:t>
      </w:r>
    </w:p>
    <w:p>
      <w:pPr>
        <w:widowControl w:val="0"/>
        <w:numPr>
          <w:ilvl w:val="0"/>
          <w:numId w:val="1"/>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识记：要求学生了解体育教学基础知识，掌握体育教学研究和教学设计的一般理论，逐步树立正确的体育教学研究和教学设计，全面理解体育教学模式与评价方法，提高学生运用评价方法进行科学合理评价的能力。</w:t>
      </w:r>
    </w:p>
    <w:p>
      <w:pPr>
        <w:widowControl w:val="0"/>
        <w:numPr>
          <w:ilvl w:val="0"/>
          <w:numId w:val="1"/>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了解：通过对学校体育学的学习，使学生了解学校体育与学生身心健康全面发展的相互关系，能正确把握我国学校体育的目标的基本内容。了解体育教师的基本工作内容、性质和特征，了解体育教师的职业培训与终身学习的概念及特征，并能根据自己的情况提出需要提高的地方与具体措施，为以后从事体育教师工作打下良好的基础。</w:t>
      </w:r>
    </w:p>
    <w:p>
      <w:pPr>
        <w:widowControl w:val="0"/>
        <w:numPr>
          <w:ilvl w:val="0"/>
          <w:numId w:val="1"/>
        </w:numPr>
        <w:ind w:firstLine="560" w:firstLineChars="200"/>
        <w:jc w:val="left"/>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简单应用：掌握体育课程编制、体育课程实施、体育课程评价、体育课程资源开发等相关概念及规律与方法，加强学生的体育教师素质培养，提高学生教学的实践能力，学会运用学校体育学知识解决体育教学中的实际问题。</w:t>
      </w:r>
    </w:p>
    <w:p>
      <w:pPr>
        <w:adjustRightInd w:val="0"/>
        <w:snapToGrid w:val="0"/>
        <w:spacing w:before="156" w:beforeLines="50" w:after="156" w:afterLines="50" w:line="360" w:lineRule="auto"/>
        <w:jc w:val="center"/>
        <w:rPr>
          <w:rFonts w:ascii="宋体" w:hAnsi="宋体" w:cs="宋体"/>
          <w:b/>
          <w:bCs/>
          <w:sz w:val="30"/>
          <w:szCs w:val="30"/>
        </w:rPr>
      </w:pPr>
      <w:bookmarkStart w:id="2" w:name="_GoBack"/>
      <w:bookmarkEnd w:id="2"/>
      <w:r>
        <w:rPr>
          <w:rFonts w:hint="eastAsia" w:ascii="宋体" w:hAnsi="宋体" w:cs="宋体"/>
          <w:b/>
          <w:bCs/>
          <w:sz w:val="30"/>
          <w:szCs w:val="30"/>
        </w:rPr>
        <w:t>Ⅱ．考试形式、试卷结构及参考书</w:t>
      </w:r>
    </w:p>
    <w:p>
      <w:pPr>
        <w:widowControl/>
        <w:numPr>
          <w:ilvl w:val="0"/>
          <w:numId w:val="2"/>
        </w:numPr>
        <w:spacing w:before="78" w:after="78" w:line="360" w:lineRule="atLeast"/>
        <w:rPr>
          <w:rFonts w:hint="eastAsia" w:ascii="宋体" w:hAnsi="宋体" w:cs="宋体"/>
          <w:sz w:val="28"/>
          <w:szCs w:val="28"/>
          <w:lang w:val="en-US" w:eastAsia="zh-CN"/>
        </w:rPr>
      </w:pPr>
      <w:r>
        <w:rPr>
          <w:rFonts w:hint="eastAsia" w:ascii="宋体" w:hAnsi="宋体" w:cs="宋体"/>
          <w:sz w:val="28"/>
          <w:szCs w:val="28"/>
          <w:lang w:val="en-US" w:eastAsia="zh-CN"/>
        </w:rPr>
        <w:t>考试形式</w:t>
      </w:r>
    </w:p>
    <w:p>
      <w:pPr>
        <w:widowControl/>
        <w:numPr>
          <w:numId w:val="0"/>
        </w:numPr>
        <w:spacing w:before="78" w:after="78" w:line="360" w:lineRule="atLeast"/>
        <w:ind w:firstLine="560" w:firstLineChars="200"/>
        <w:rPr>
          <w:rFonts w:hint="default" w:ascii="宋体" w:hAnsi="宋体" w:cs="宋体"/>
          <w:sz w:val="28"/>
          <w:szCs w:val="28"/>
          <w:lang w:val="en-US" w:eastAsia="zh-CN"/>
        </w:rPr>
      </w:pPr>
      <w:r>
        <w:rPr>
          <w:rFonts w:hint="eastAsia" w:eastAsia="仿宋_GB2312" w:cs="仿宋_GB2312"/>
          <w:color w:val="000000"/>
          <w:kern w:val="0"/>
          <w:sz w:val="28"/>
          <w:szCs w:val="28"/>
          <w:lang w:bidi="ar"/>
        </w:rPr>
        <w:t>考试采用闭卷、笔试形式。试卷满分</w:t>
      </w:r>
      <w:r>
        <w:rPr>
          <w:rFonts w:hint="eastAsia" w:eastAsia="仿宋_GB2312" w:cs="仿宋_GB2312"/>
          <w:color w:val="000000"/>
          <w:kern w:val="0"/>
          <w:sz w:val="28"/>
          <w:szCs w:val="28"/>
          <w:lang w:val="en-US" w:eastAsia="zh-CN" w:bidi="ar"/>
        </w:rPr>
        <w:t>1</w:t>
      </w:r>
      <w:r>
        <w:rPr>
          <w:rFonts w:hint="eastAsia" w:eastAsia="仿宋_GB2312" w:cs="仿宋_GB2312"/>
          <w:color w:val="000000"/>
          <w:kern w:val="0"/>
          <w:sz w:val="28"/>
          <w:szCs w:val="28"/>
          <w:lang w:bidi="ar"/>
        </w:rPr>
        <w:t>00分，考试时间1</w:t>
      </w:r>
      <w:r>
        <w:rPr>
          <w:rFonts w:hint="eastAsia" w:eastAsia="仿宋_GB2312" w:cs="仿宋_GB2312"/>
          <w:color w:val="000000"/>
          <w:kern w:val="0"/>
          <w:sz w:val="28"/>
          <w:szCs w:val="28"/>
          <w:lang w:val="en-US" w:eastAsia="zh-CN" w:bidi="ar"/>
        </w:rPr>
        <w:t>2</w:t>
      </w:r>
      <w:r>
        <w:rPr>
          <w:rFonts w:hint="eastAsia" w:eastAsia="仿宋_GB2312" w:cs="仿宋_GB2312"/>
          <w:color w:val="000000"/>
          <w:kern w:val="0"/>
          <w:sz w:val="28"/>
          <w:szCs w:val="28"/>
          <w:lang w:bidi="ar"/>
        </w:rPr>
        <w:t>0分钟。</w:t>
      </w:r>
    </w:p>
    <w:p>
      <w:pPr>
        <w:widowControl/>
        <w:numPr>
          <w:ilvl w:val="0"/>
          <w:numId w:val="0"/>
        </w:numPr>
        <w:spacing w:before="78" w:after="78" w:line="360" w:lineRule="atLeast"/>
        <w:rPr>
          <w:rFonts w:hint="default"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二、试卷结构</w:t>
      </w:r>
    </w:p>
    <w:p>
      <w:pPr>
        <w:widowControl/>
        <w:numPr>
          <w:ilvl w:val="0"/>
          <w:numId w:val="0"/>
        </w:numPr>
        <w:spacing w:before="78" w:after="78" w:line="360" w:lineRule="atLeast"/>
        <w:ind w:firstLine="560" w:firstLineChars="200"/>
        <w:rPr>
          <w:rFonts w:hint="default"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1.单选题（每小题2分，共12小题，共24分）</w:t>
      </w:r>
    </w:p>
    <w:p>
      <w:pPr>
        <w:widowControl/>
        <w:numPr>
          <w:ilvl w:val="0"/>
          <w:numId w:val="0"/>
        </w:numPr>
        <w:spacing w:before="78" w:after="78" w:line="360" w:lineRule="atLeast"/>
        <w:ind w:firstLine="560" w:firstLineChars="200"/>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2.判断题（每小题1分，共12小题，共12分）</w:t>
      </w:r>
    </w:p>
    <w:p>
      <w:pPr>
        <w:widowControl/>
        <w:numPr>
          <w:ilvl w:val="0"/>
          <w:numId w:val="0"/>
        </w:numPr>
        <w:spacing w:before="78" w:after="78" w:line="360" w:lineRule="atLeast"/>
        <w:ind w:firstLine="560" w:firstLineChars="200"/>
        <w:rPr>
          <w:rFonts w:hint="default"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3.填空题（每空1分，共9小题10空，共10分）</w:t>
      </w:r>
    </w:p>
    <w:p>
      <w:pPr>
        <w:widowControl/>
        <w:numPr>
          <w:ilvl w:val="0"/>
          <w:numId w:val="0"/>
        </w:numPr>
        <w:spacing w:before="78" w:after="78" w:line="360" w:lineRule="atLeast"/>
        <w:ind w:firstLine="560" w:firstLineChars="200"/>
        <w:rPr>
          <w:rFonts w:hint="default"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4.简单题（每小题5分，共6小题，共30分）</w:t>
      </w:r>
    </w:p>
    <w:p>
      <w:pPr>
        <w:widowControl/>
        <w:numPr>
          <w:ilvl w:val="0"/>
          <w:numId w:val="0"/>
        </w:numPr>
        <w:spacing w:before="78" w:after="78" w:line="360" w:lineRule="atLeast"/>
        <w:ind w:firstLine="560" w:firstLineChars="200"/>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5.论述分析题（每小题8分，共3小题，共24分）</w:t>
      </w:r>
    </w:p>
    <w:p>
      <w:pPr>
        <w:widowControl/>
        <w:numPr>
          <w:ilvl w:val="0"/>
          <w:numId w:val="0"/>
        </w:numPr>
        <w:spacing w:before="78" w:after="78" w:line="360" w:lineRule="atLeast"/>
        <w:rPr>
          <w:rFonts w:hint="default"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三、主要参考书</w:t>
      </w:r>
    </w:p>
    <w:p>
      <w:pPr>
        <w:widowControl/>
        <w:numPr>
          <w:ilvl w:val="0"/>
          <w:numId w:val="0"/>
        </w:numPr>
        <w:spacing w:before="78" w:after="78" w:line="360" w:lineRule="atLeast"/>
        <w:ind w:firstLine="560" w:firstLineChars="200"/>
        <w:rPr>
          <w:rFonts w:hint="default"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1.</w:t>
      </w:r>
      <w:r>
        <w:rPr>
          <w:rFonts w:hint="eastAsia" w:eastAsia="仿宋_GB2312" w:cs="仿宋_GB2312"/>
          <w:color w:val="000000"/>
          <w:kern w:val="0"/>
          <w:sz w:val="28"/>
          <w:szCs w:val="28"/>
          <w:lang w:bidi="ar"/>
        </w:rPr>
        <w:t>参考教材名称：《运动解剖学》</w:t>
      </w:r>
      <w:r>
        <w:rPr>
          <w:rFonts w:hint="eastAsia" w:eastAsia="仿宋_GB2312" w:cs="仿宋_GB2312"/>
          <w:color w:val="000000"/>
          <w:kern w:val="0"/>
          <w:sz w:val="28"/>
          <w:szCs w:val="28"/>
          <w:lang w:eastAsia="zh-CN" w:bidi="ar"/>
        </w:rPr>
        <w:t>；</w:t>
      </w:r>
      <w:r>
        <w:rPr>
          <w:rFonts w:hint="eastAsia" w:eastAsia="仿宋_GB2312" w:cs="仿宋_GB2312"/>
          <w:color w:val="000000"/>
          <w:kern w:val="0"/>
          <w:sz w:val="28"/>
          <w:szCs w:val="28"/>
          <w:lang w:bidi="ar"/>
        </w:rPr>
        <w:t>作者：</w:t>
      </w:r>
      <w:r>
        <w:rPr>
          <w:rFonts w:hint="eastAsia" w:eastAsia="仿宋_GB2312" w:cs="仿宋_GB2312"/>
          <w:color w:val="000000"/>
          <w:kern w:val="0"/>
          <w:sz w:val="28"/>
          <w:szCs w:val="28"/>
          <w:lang w:val="en-US" w:eastAsia="zh-CN" w:bidi="ar"/>
        </w:rPr>
        <w:t>李</w:t>
      </w:r>
      <w:r>
        <w:rPr>
          <w:rFonts w:hint="eastAsia" w:ascii="宋体" w:hAnsi="宋体" w:eastAsia="宋体" w:cs="宋体"/>
          <w:sz w:val="28"/>
          <w:szCs w:val="28"/>
          <w:lang w:val="en-US" w:eastAsia="zh-CN"/>
        </w:rPr>
        <w:t>世昌</w:t>
      </w:r>
      <w:r>
        <w:rPr>
          <w:rFonts w:hint="eastAsia" w:ascii="宋体" w:hAnsi="宋体" w:eastAsia="宋体" w:cs="宋体"/>
          <w:sz w:val="28"/>
          <w:szCs w:val="28"/>
        </w:rPr>
        <w:t>主编</w:t>
      </w:r>
      <w:r>
        <w:rPr>
          <w:rFonts w:hint="eastAsia" w:ascii="宋体" w:hAnsi="宋体" w:eastAsia="宋体" w:cs="宋体"/>
          <w:sz w:val="28"/>
          <w:szCs w:val="28"/>
          <w:lang w:eastAsia="zh-CN"/>
        </w:rPr>
        <w:t>；</w:t>
      </w:r>
      <w:r>
        <w:rPr>
          <w:rFonts w:hint="eastAsia" w:ascii="宋体" w:hAnsi="宋体" w:eastAsia="宋体" w:cs="宋体"/>
          <w:sz w:val="28"/>
          <w:szCs w:val="28"/>
        </w:rPr>
        <w:t>出版社</w:t>
      </w:r>
      <w:r>
        <w:rPr>
          <w:rFonts w:hint="eastAsia" w:eastAsia="仿宋_GB2312" w:cs="仿宋_GB2312"/>
          <w:color w:val="000000"/>
          <w:kern w:val="0"/>
          <w:sz w:val="28"/>
          <w:szCs w:val="28"/>
          <w:lang w:bidi="ar"/>
        </w:rPr>
        <w:t>名称：</w:t>
      </w:r>
      <w:r>
        <w:rPr>
          <w:rFonts w:hint="eastAsia" w:eastAsia="仿宋_GB2312" w:cs="仿宋_GB2312"/>
          <w:color w:val="000000"/>
          <w:kern w:val="0"/>
          <w:sz w:val="28"/>
          <w:szCs w:val="28"/>
          <w:lang w:val="en-US" w:eastAsia="zh-CN" w:bidi="ar"/>
        </w:rPr>
        <w:t>高等教育出版社；</w:t>
      </w:r>
      <w:r>
        <w:rPr>
          <w:rFonts w:hint="eastAsia" w:eastAsia="仿宋_GB2312" w:cs="仿宋_GB2312"/>
          <w:color w:val="000000"/>
          <w:kern w:val="0"/>
          <w:sz w:val="28"/>
          <w:szCs w:val="28"/>
          <w:lang w:bidi="ar"/>
        </w:rPr>
        <w:t>出版时间：</w:t>
      </w:r>
      <w:r>
        <w:rPr>
          <w:rFonts w:hint="eastAsia" w:eastAsia="仿宋_GB2312" w:cs="仿宋_GB2312"/>
          <w:color w:val="000000"/>
          <w:kern w:val="0"/>
          <w:sz w:val="28"/>
          <w:szCs w:val="28"/>
          <w:lang w:val="en-US" w:eastAsia="zh-CN" w:bidi="ar"/>
        </w:rPr>
        <w:t>2015.1</w:t>
      </w:r>
    </w:p>
    <w:p>
      <w:pPr>
        <w:widowControl/>
        <w:numPr>
          <w:ilvl w:val="0"/>
          <w:numId w:val="0"/>
        </w:numPr>
        <w:spacing w:before="78" w:after="78" w:line="360" w:lineRule="atLeast"/>
        <w:ind w:firstLine="560" w:firstLineChars="200"/>
        <w:rPr>
          <w:rFonts w:hint="eastAsia" w:eastAsia="仿宋_GB2312" w:cs="仿宋_GB2312"/>
          <w:color w:val="000000"/>
          <w:kern w:val="0"/>
          <w:sz w:val="28"/>
          <w:szCs w:val="28"/>
          <w:lang w:val="en-US" w:eastAsia="zh-CN" w:bidi="ar"/>
        </w:rPr>
      </w:pPr>
      <w:r>
        <w:rPr>
          <w:rFonts w:hint="eastAsia" w:eastAsia="仿宋_GB2312" w:cs="仿宋_GB2312"/>
          <w:color w:val="000000"/>
          <w:kern w:val="0"/>
          <w:sz w:val="28"/>
          <w:szCs w:val="28"/>
          <w:lang w:val="en-US" w:eastAsia="zh-CN" w:bidi="ar"/>
        </w:rPr>
        <w:t>2.</w:t>
      </w:r>
      <w:r>
        <w:rPr>
          <w:rFonts w:hint="eastAsia" w:eastAsia="仿宋_GB2312" w:cs="仿宋_GB2312"/>
          <w:color w:val="000000"/>
          <w:kern w:val="0"/>
          <w:sz w:val="28"/>
          <w:szCs w:val="28"/>
          <w:lang w:bidi="ar"/>
        </w:rPr>
        <w:t>王步标、华明，《运动生理学》，高等教育出版社，2011年</w:t>
      </w:r>
    </w:p>
    <w:p>
      <w:pPr>
        <w:widowControl/>
        <w:numPr>
          <w:ilvl w:val="0"/>
          <w:numId w:val="0"/>
        </w:numPr>
        <w:spacing w:before="78" w:after="78" w:line="360" w:lineRule="atLeast"/>
        <w:ind w:firstLine="560" w:firstLineChars="200"/>
        <w:rPr>
          <w:rFonts w:hint="eastAsia" w:eastAsia="仿宋_GB2312" w:cs="仿宋_GB2312"/>
          <w:color w:val="000000"/>
          <w:kern w:val="0"/>
          <w:sz w:val="28"/>
          <w:szCs w:val="28"/>
          <w:lang w:bidi="ar"/>
        </w:rPr>
      </w:pPr>
      <w:r>
        <w:rPr>
          <w:rFonts w:hint="eastAsia" w:eastAsia="仿宋_GB2312" w:cs="仿宋_GB2312"/>
          <w:color w:val="000000"/>
          <w:kern w:val="0"/>
          <w:sz w:val="28"/>
          <w:szCs w:val="28"/>
          <w:lang w:val="en-US" w:eastAsia="zh-CN" w:bidi="ar"/>
        </w:rPr>
        <w:t>3.</w:t>
      </w:r>
      <w:r>
        <w:rPr>
          <w:rFonts w:hint="eastAsia" w:eastAsia="仿宋_GB2312" w:cs="仿宋_GB2312"/>
          <w:color w:val="000000"/>
          <w:kern w:val="0"/>
          <w:sz w:val="28"/>
          <w:szCs w:val="28"/>
          <w:lang w:bidi="ar"/>
        </w:rPr>
        <w:t>《学校体育学》，潘绍伟、于可红主编.高等教育出版社， 2018</w:t>
      </w:r>
    </w:p>
    <w:p>
      <w:pPr>
        <w:widowControl w:val="0"/>
        <w:numPr>
          <w:ilvl w:val="0"/>
          <w:numId w:val="0"/>
        </w:numPr>
        <w:ind w:firstLine="560" w:firstLineChars="200"/>
        <w:jc w:val="left"/>
        <w:rPr>
          <w:rFonts w:hint="default"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C2C6B9"/>
    <w:multiLevelType w:val="singleLevel"/>
    <w:tmpl w:val="BDC2C6B9"/>
    <w:lvl w:ilvl="0" w:tentative="0">
      <w:start w:val="1"/>
      <w:numFmt w:val="decimal"/>
      <w:lvlText w:val="%1."/>
      <w:lvlJc w:val="left"/>
      <w:pPr>
        <w:tabs>
          <w:tab w:val="left" w:pos="312"/>
        </w:tabs>
      </w:pPr>
    </w:lvl>
  </w:abstractNum>
  <w:abstractNum w:abstractNumId="1">
    <w:nsid w:val="CFB7C5A2"/>
    <w:multiLevelType w:val="singleLevel"/>
    <w:tmpl w:val="CFB7C5A2"/>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kOTliYjk1ZWQyNzNjMjdkOTc4OGY4MGY5MmFjMzYifQ=="/>
  </w:docVars>
  <w:rsids>
    <w:rsidRoot w:val="00000000"/>
    <w:rsid w:val="5DE62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autoRedefine/>
    <w:qFormat/>
    <w:uiPriority w:val="0"/>
  </w:style>
  <w:style w:type="table" w:default="1" w:styleId="2">
    <w:name w:val="Normal Table"/>
    <w:autoRedefine/>
    <w:qFormat/>
    <w:uiPriority w:val="0"/>
    <w:tblPr>
      <w:tblCellMar>
        <w:top w:w="0" w:type="dxa"/>
        <w:left w:w="108" w:type="dxa"/>
        <w:bottom w:w="0" w:type="dxa"/>
        <w:right w:w="108" w:type="dxa"/>
      </w:tblCellMar>
    </w:tblPr>
  </w:style>
  <w:style w:type="paragraph" w:styleId="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5393</Words>
  <Characters>5489</Characters>
  <Paragraphs>142</Paragraphs>
  <TotalTime>3</TotalTime>
  <ScaleCrop>false</ScaleCrop>
  <LinksUpToDate>false</LinksUpToDate>
  <CharactersWithSpaces>5505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2024-01-16T02:20:00Z</dcterms:created>
  <dc:creator>米米许</dc:creator>
  <cp:lastModifiedBy>米米许</cp:lastModifiedBy>
  <dcterms:modified xsi:type="dcterms:W3CDTF">2024-03-04T08:59:03Z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7088251D7A6C4D039CA18EA7A8324CBD_13</vt:lpwstr>
  </property>
</Properties>
</file>